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Strömstad kommunfullmäktige</w:t>
      </w:r>
    </w:p>
    <w:p>
      <w:pPr>
        <w:pStyle w:val="Heading1"/>
      </w:pPr>
      <w:r>
        <w:t xml:space="preserve">Språk och jobb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Strömstad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18 % (Arbetsförmedlingen 2025). SFI-resultaten är låga och matchningen till näringslivet svag. Gränshandeln erbjuder många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Strömstad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integrationsenheten ges uppdrag att införa intensivkurser i yrkessvenska riktade mot handel och besöksnäring.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näringslivet formaliseras genom praktikavtal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60 % övergång till arbete eller studier inom 12 månader efter SFI sätts upp.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till kommunfullmäktige.</w:t>
      </w:r>
    </w:p>
    <w:p>
      <w:pPr>
        <w:spacing w:before="360"/>
      </w:pPr>
    </w:p>
    <w:p>
      <w:r>
        <w:t xml:space="preserve">Strömstad,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Strömstad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2026-07-14T05:10:02.704Z</dcterms:created>
  <dcterms:modified xsi:type="dcterms:W3CDTF">2026-07-14T05:10:02.704Z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